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C4E4" w14:textId="03B125C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E03E32B" w14:textId="362EBD3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1DC398" w14:textId="22E5652E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556749B6" w14:textId="7683A733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3B258CC" w14:textId="3FB6F72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6935500A" w14:textId="3D4C6F8B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46B0A7" w14:textId="7777777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11E16F04" w14:textId="74F51AD2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r w:rsidRPr="00704CF6">
        <w:rPr>
          <w:rFonts w:cstheme="minorHAnsi"/>
          <w:b/>
          <w:bCs/>
          <w:sz w:val="48"/>
          <w:szCs w:val="48"/>
        </w:rPr>
        <w:t>PARECER DO COMITÊ DE INVESTIMENTOS</w:t>
      </w:r>
    </w:p>
    <w:p w14:paraId="7A12E205" w14:textId="7572C4AD" w:rsidR="006D066D" w:rsidRPr="00704CF6" w:rsidRDefault="00B03238" w:rsidP="006D066D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OUTUBRO</w:t>
      </w:r>
      <w:r w:rsidR="006D066D" w:rsidRPr="00704CF6">
        <w:rPr>
          <w:rFonts w:cstheme="minorHAnsi"/>
          <w:b/>
          <w:bCs/>
          <w:sz w:val="48"/>
          <w:szCs w:val="48"/>
        </w:rPr>
        <w:t>/2023</w:t>
      </w:r>
    </w:p>
    <w:p w14:paraId="7F2AB1FB" w14:textId="23FAF8A0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6E20D123" w14:textId="7C0422B3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5B417F3" w14:textId="2907A6E9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bookmarkStart w:id="0" w:name="_GoBack"/>
      <w:bookmarkEnd w:id="0"/>
    </w:p>
    <w:p w14:paraId="259B061F" w14:textId="4746A60F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7C5D5C45" w14:textId="63D4AE9B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3DFE421" w14:textId="77777777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82DEAD1" w14:textId="731E7C94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t xml:space="preserve">Aprovado em </w:t>
      </w:r>
      <w:r w:rsidR="008B03E5">
        <w:rPr>
          <w:rFonts w:cstheme="minorHAnsi"/>
          <w:sz w:val="24"/>
          <w:szCs w:val="24"/>
        </w:rPr>
        <w:t xml:space="preserve">03 </w:t>
      </w:r>
      <w:r w:rsidRPr="00704CF6">
        <w:rPr>
          <w:rFonts w:cstheme="minorHAnsi"/>
          <w:sz w:val="24"/>
          <w:szCs w:val="24"/>
        </w:rPr>
        <w:t>de</w:t>
      </w:r>
      <w:r w:rsidR="008B03E5">
        <w:rPr>
          <w:rFonts w:cstheme="minorHAnsi"/>
          <w:sz w:val="24"/>
          <w:szCs w:val="24"/>
        </w:rPr>
        <w:t xml:space="preserve"> Janeiro </w:t>
      </w:r>
      <w:r w:rsidRPr="00704CF6">
        <w:rPr>
          <w:rFonts w:cstheme="minorHAnsi"/>
          <w:sz w:val="24"/>
          <w:szCs w:val="24"/>
        </w:rPr>
        <w:t>de 202</w:t>
      </w:r>
      <w:r w:rsidR="008B03E5">
        <w:rPr>
          <w:rFonts w:cstheme="minorHAnsi"/>
          <w:sz w:val="24"/>
          <w:szCs w:val="24"/>
        </w:rPr>
        <w:t>4</w:t>
      </w:r>
      <w:r w:rsidRPr="00704CF6">
        <w:rPr>
          <w:rFonts w:cstheme="minorHAnsi"/>
          <w:sz w:val="24"/>
          <w:szCs w:val="24"/>
        </w:rPr>
        <w:t xml:space="preserve"> pelo Comitê de Investimentos</w:t>
      </w:r>
    </w:p>
    <w:p w14:paraId="5950945D" w14:textId="035889BB" w:rsidR="006D066D" w:rsidRPr="00704CF6" w:rsidRDefault="006D066D">
      <w:pPr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br w:type="page"/>
      </w:r>
    </w:p>
    <w:p w14:paraId="48D66160" w14:textId="77777777" w:rsidR="00B9404D" w:rsidRPr="00704CF6" w:rsidRDefault="00B9404D" w:rsidP="00B9404D">
      <w:pPr>
        <w:jc w:val="center"/>
        <w:rPr>
          <w:rFonts w:cstheme="minorHAnsi"/>
          <w:sz w:val="28"/>
          <w:szCs w:val="28"/>
          <w:u w:val="single"/>
        </w:rPr>
      </w:pPr>
    </w:p>
    <w:bookmarkStart w:id="1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0D154113" w14:textId="05252824" w:rsidR="008A4050" w:rsidRDefault="00B9404D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3095673" w:history="1">
            <w:r w:rsidR="008A4050" w:rsidRPr="00C556CE">
              <w:rPr>
                <w:rStyle w:val="Hyperlink"/>
                <w:rFonts w:cstheme="minorHAnsi"/>
                <w:noProof/>
              </w:rPr>
              <w:t>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INTRODUÇÃO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36E1E4B" w14:textId="39924326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4" w:history="1">
            <w:r w:rsidR="008A4050" w:rsidRPr="00C556CE">
              <w:rPr>
                <w:rStyle w:val="Hyperlink"/>
                <w:rFonts w:cstheme="minorHAnsi"/>
                <w:noProof/>
              </w:rPr>
              <w:t>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ANEXOS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28CD30D" w14:textId="5EA09C4D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5" w:history="1">
            <w:r w:rsidR="008A4050" w:rsidRPr="00C556CE">
              <w:rPr>
                <w:rStyle w:val="Hyperlink"/>
                <w:rFonts w:cstheme="minorHAnsi"/>
                <w:noProof/>
              </w:rPr>
              <w:t>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DO CENÁRIO ECONÔMICO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96F37" w14:textId="56761F6C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6" w:history="1">
            <w:r w:rsidR="008A4050" w:rsidRPr="00C556CE">
              <w:rPr>
                <w:rStyle w:val="Hyperlink"/>
                <w:rFonts w:cstheme="minorHAnsi"/>
                <w:noProof/>
              </w:rPr>
              <w:t>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67C747C" w14:textId="7CB5C505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7" w:history="1">
            <w:r w:rsidR="008A4050" w:rsidRPr="00C556CE">
              <w:rPr>
                <w:rStyle w:val="Hyperlink"/>
                <w:rFonts w:cstheme="minorHAnsi"/>
                <w:noProof/>
              </w:rPr>
              <w:t>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D9B47" w14:textId="0FFA527C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8" w:history="1">
            <w:r w:rsidR="008A4050" w:rsidRPr="00C556CE">
              <w:rPr>
                <w:rStyle w:val="Hyperlink"/>
                <w:rFonts w:cstheme="minorHAnsi"/>
                <w:noProof/>
              </w:rPr>
              <w:t>5.1.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68AD1A7" w14:textId="209BE35D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9" w:history="1">
            <w:r w:rsidR="008A4050" w:rsidRPr="00C556CE">
              <w:rPr>
                <w:rStyle w:val="Hyperlink"/>
                <w:rFonts w:cstheme="minorHAnsi"/>
                <w:noProof/>
              </w:rPr>
              <w:t>5.2.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SOBRE OS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699CBDC" w14:textId="7A6D3A68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0" w:history="1">
            <w:r w:rsidR="008A4050" w:rsidRPr="00C556CE">
              <w:rPr>
                <w:rStyle w:val="Hyperlink"/>
                <w:rFonts w:cstheme="minorHAnsi"/>
                <w:noProof/>
              </w:rPr>
              <w:t>5.3.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52E88BE" w14:textId="3D0217D0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1" w:history="1">
            <w:r w:rsidR="008A4050" w:rsidRPr="00C556CE">
              <w:rPr>
                <w:rStyle w:val="Hyperlink"/>
                <w:rFonts w:cstheme="minorHAnsi"/>
                <w:noProof/>
              </w:rPr>
              <w:t>5.4.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40C85A" w14:textId="1D7FC0B4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2" w:history="1">
            <w:r w:rsidR="008A4050" w:rsidRPr="00C556CE">
              <w:rPr>
                <w:rStyle w:val="Hyperlink"/>
                <w:rFonts w:cstheme="minorHAnsi"/>
                <w:noProof/>
              </w:rPr>
              <w:t>5.5.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PATRIMONIAL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52EAC0" w14:textId="1A018639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3" w:history="1">
            <w:r w:rsidR="008A4050" w:rsidRPr="00C556CE">
              <w:rPr>
                <w:rStyle w:val="Hyperlink"/>
                <w:rFonts w:cstheme="minorHAnsi"/>
                <w:noProof/>
              </w:rPr>
              <w:t>5.6.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04C196" w14:textId="202DA115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4" w:history="1">
            <w:r w:rsidR="008A4050" w:rsidRPr="00C556CE">
              <w:rPr>
                <w:rStyle w:val="Hyperlink"/>
                <w:rFonts w:cstheme="minorHAnsi"/>
                <w:noProof/>
              </w:rPr>
              <w:t>5.7.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2835874" w14:textId="5E9EE59F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5" w:history="1">
            <w:r w:rsidR="008A4050" w:rsidRPr="00C556CE">
              <w:rPr>
                <w:rStyle w:val="Hyperlink"/>
                <w:rFonts w:cstheme="minorHAnsi"/>
                <w:noProof/>
              </w:rPr>
              <w:t>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3E5467D" w14:textId="62C2F465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6" w:history="1">
            <w:r w:rsidR="008A4050" w:rsidRPr="00C556CE">
              <w:rPr>
                <w:rStyle w:val="Hyperlink"/>
                <w:rFonts w:cstheme="minorHAnsi"/>
                <w:noProof/>
              </w:rPr>
              <w:t>6.1.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MERCADO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DCDF60F" w14:textId="2198AB31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7" w:history="1">
            <w:r w:rsidR="008A4050" w:rsidRPr="00C556CE">
              <w:rPr>
                <w:rStyle w:val="Hyperlink"/>
                <w:rFonts w:cstheme="minorHAnsi"/>
                <w:noProof/>
              </w:rPr>
              <w:t>6.2.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CRÉDITO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616596AE" w14:textId="19A29A80" w:rsidR="008A4050" w:rsidRDefault="00E41EA8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8" w:history="1">
            <w:r w:rsidR="008A4050" w:rsidRPr="00C556CE">
              <w:rPr>
                <w:rStyle w:val="Hyperlink"/>
                <w:rFonts w:cstheme="minorHAnsi"/>
                <w:noProof/>
              </w:rPr>
              <w:t>6.3.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LÍQUIDEZ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1528D85" w14:textId="43227426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9" w:history="1">
            <w:r w:rsidR="008A4050" w:rsidRPr="00C556CE">
              <w:rPr>
                <w:rStyle w:val="Hyperlink"/>
                <w:rFonts w:cstheme="minorHAnsi"/>
                <w:noProof/>
              </w:rPr>
              <w:t>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70BE7E8" w14:textId="6260682E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0" w:history="1">
            <w:r w:rsidR="008A4050" w:rsidRPr="00C556CE">
              <w:rPr>
                <w:rStyle w:val="Hyperlink"/>
                <w:rFonts w:cstheme="minorHAnsi"/>
                <w:noProof/>
              </w:rPr>
              <w:t>8.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ECC78CA" w14:textId="675F62D1" w:rsidR="008A4050" w:rsidRDefault="00E41EA8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1" w:history="1">
            <w:r w:rsidR="008A4050" w:rsidRPr="00C556CE">
              <w:rPr>
                <w:rStyle w:val="Hyperlink"/>
                <w:rFonts w:cstheme="minorHAnsi"/>
                <w:noProof/>
              </w:rPr>
              <w:t>9.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PROCESSOS DE CREDENCIAMENTO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5429820" w14:textId="3E4865AF" w:rsidR="008A4050" w:rsidRDefault="00E41EA8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2" w:history="1">
            <w:r w:rsidR="008A4050" w:rsidRPr="00C556CE">
              <w:rPr>
                <w:rStyle w:val="Hyperlink"/>
                <w:rFonts w:cstheme="minorHAnsi"/>
                <w:noProof/>
              </w:rPr>
              <w:t>10.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PLANO DE CONTINGÊNCIA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6D2ED0C" w14:textId="771084A1" w:rsidR="008A4050" w:rsidRDefault="00E41EA8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3" w:history="1">
            <w:r w:rsidR="008A4050" w:rsidRPr="00C556CE">
              <w:rPr>
                <w:rStyle w:val="Hyperlink"/>
                <w:rFonts w:cstheme="minorHAnsi"/>
                <w:noProof/>
              </w:rPr>
              <w:t>11.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CONSIDERAÇÕES FINAIS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E34703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3F58D8" w14:textId="14DCD501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1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" w:name="_Toc143095673"/>
      <w:bookmarkStart w:id="3" w:name="_Hlk118107437"/>
      <w:r w:rsidRPr="00704CF6">
        <w:rPr>
          <w:rFonts w:cstheme="minorHAnsi"/>
        </w:rPr>
        <w:lastRenderedPageBreak/>
        <w:t>INTRODUÇÃO</w:t>
      </w:r>
      <w:bookmarkEnd w:id="2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3"/>
    <w:p w14:paraId="3FCA22AB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4" w:name="_Toc143095674"/>
      <w:bookmarkStart w:id="5" w:name="_Hlk118107479"/>
      <w:r w:rsidRPr="00704CF6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6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4A27C315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B03238">
              <w:rPr>
                <w:rFonts w:asciiTheme="minorHAnsi" w:hAnsiTheme="minorHAnsi" w:cstheme="minorHAnsi"/>
                <w:b w:val="0"/>
                <w:bCs w:val="0"/>
              </w:rPr>
              <w:t>outubro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  <w:bookmarkEnd w:id="6"/>
    </w:tbl>
    <w:p w14:paraId="34D37384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2F036B3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7" w:name="_Toc143095675"/>
      <w:bookmarkStart w:id="8" w:name="_Hlk118107774"/>
      <w:bookmarkEnd w:id="5"/>
      <w:r w:rsidRPr="00704CF6">
        <w:rPr>
          <w:rFonts w:cstheme="minorHAnsi"/>
        </w:rPr>
        <w:t>ANÁLISE DO CENÁRIO ECONÔMICO</w:t>
      </w:r>
      <w:bookmarkEnd w:id="7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3095676"/>
      <w:r w:rsidRPr="00704CF6">
        <w:rPr>
          <w:rFonts w:cstheme="minorHAnsi"/>
        </w:rPr>
        <w:t>EVOLUÇÃO DA EXECUÇÃO ORÇAMENTÁRIA</w:t>
      </w:r>
      <w:bookmarkEnd w:id="9"/>
    </w:p>
    <w:p w14:paraId="3C41753D" w14:textId="040FDCBA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B03238">
        <w:rPr>
          <w:rFonts w:cstheme="minorHAnsi"/>
          <w:b/>
          <w:bCs/>
        </w:rPr>
        <w:t>outubro</w:t>
      </w:r>
      <w:r w:rsidRPr="00704CF6">
        <w:rPr>
          <w:rFonts w:cstheme="minorHAnsi"/>
          <w:b/>
          <w:bCs/>
        </w:rPr>
        <w:t xml:space="preserve"> 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205C3904" w14:textId="50325042" w:rsidR="00B9404D" w:rsidRPr="00704CF6" w:rsidRDefault="00B9404D" w:rsidP="008B03E5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  <w:bookmarkEnd w:id="8"/>
    </w:p>
    <w:p w14:paraId="0AF35B1F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0" w:name="_Toc143095677"/>
      <w:bookmarkStart w:id="11" w:name="_Hlk118108073"/>
      <w:r w:rsidRPr="00704CF6">
        <w:rPr>
          <w:rFonts w:cstheme="minorHAnsi"/>
        </w:rPr>
        <w:t>ANÁLISE DA CARTEIRA DE INVESTIMENTOS</w:t>
      </w:r>
      <w:bookmarkEnd w:id="10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3095678"/>
      <w:r w:rsidRPr="00704CF6">
        <w:rPr>
          <w:rFonts w:cstheme="minorHAnsi"/>
        </w:rPr>
        <w:t>CARTEIRA DE INVESTIMENTOS CONSOLIDADA</w:t>
      </w:r>
      <w:bookmarkEnd w:id="12"/>
    </w:p>
    <w:p w14:paraId="70739702" w14:textId="1C3B860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B03238" w:rsidRPr="00B03238">
        <w:rPr>
          <w:rFonts w:cstheme="minorHAnsi"/>
          <w:b/>
          <w:bCs/>
        </w:rPr>
        <w:t>82,79%</w:t>
      </w:r>
      <w:r w:rsidR="00B03238">
        <w:rPr>
          <w:rFonts w:cstheme="minorHAnsi"/>
          <w:b/>
          <w:bCs/>
        </w:rPr>
        <w:t xml:space="preserve"> </w:t>
      </w:r>
      <w:r w:rsidR="00871514" w:rsidRPr="00871514">
        <w:rPr>
          <w:rFonts w:cstheme="minorHAnsi"/>
          <w:b/>
          <w:bCs/>
        </w:rPr>
        <w:t>e</w:t>
      </w:r>
      <w:r w:rsidR="00B93C34" w:rsidRPr="00871514">
        <w:rPr>
          <w:rFonts w:cstheme="minorHAnsi"/>
          <w:b/>
          <w:bCs/>
        </w:rPr>
        <w:t xml:space="preserve"> </w:t>
      </w:r>
      <w:r w:rsidR="00B03238" w:rsidRPr="00B03238">
        <w:rPr>
          <w:rFonts w:cstheme="minorHAnsi"/>
          <w:b/>
          <w:bCs/>
        </w:rPr>
        <w:t>17,21%</w:t>
      </w:r>
      <w:r w:rsidR="00B03238" w:rsidRPr="00B03238">
        <w:rPr>
          <w:rFonts w:cstheme="minorHAnsi"/>
          <w:b/>
          <w:bCs/>
        </w:rPr>
        <w:tab/>
      </w:r>
      <w:r w:rsidR="00B03238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p w14:paraId="1D751772" w14:textId="77777777" w:rsidR="00B9404D" w:rsidRPr="00704CF6" w:rsidRDefault="00B9404D" w:rsidP="00B9404D">
      <w:pPr>
        <w:rPr>
          <w:rFonts w:cstheme="minorHAnsi"/>
        </w:rPr>
      </w:pPr>
    </w:p>
    <w:bookmarkEnd w:id="11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lastRenderedPageBreak/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8B03E5">
      <w:pPr>
        <w:spacing w:after="120" w:line="240" w:lineRule="auto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8B03E5">
      <w:pPr>
        <w:spacing w:after="120" w:line="240" w:lineRule="auto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68DF16A8" w14:textId="6385E494" w:rsidR="00B9404D" w:rsidRDefault="00B9404D" w:rsidP="008B03E5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</w:p>
    <w:p w14:paraId="229EDE14" w14:textId="77777777" w:rsidR="008B03E5" w:rsidRPr="00704CF6" w:rsidRDefault="008B03E5" w:rsidP="008B03E5">
      <w:pPr>
        <w:spacing w:after="120" w:line="240" w:lineRule="auto"/>
        <w:jc w:val="both"/>
        <w:rPr>
          <w:rFonts w:cstheme="minorHAnsi"/>
        </w:rPr>
      </w:pP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3095679"/>
      <w:r w:rsidRPr="00704CF6">
        <w:rPr>
          <w:rFonts w:cstheme="minorHAnsi"/>
        </w:rPr>
        <w:t>RETORNO SOBRE OS INVESTIMENTOS</w:t>
      </w:r>
      <w:bookmarkEnd w:id="13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0EF4281C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B03238" w:rsidRPr="00B03238">
        <w:rPr>
          <w:rFonts w:cstheme="minorHAnsi"/>
          <w:b/>
          <w:bCs/>
        </w:rPr>
        <w:t>0,21%</w:t>
      </w:r>
      <w:r w:rsidR="00B03238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B03238" w:rsidRPr="00B03238">
        <w:rPr>
          <w:rFonts w:cstheme="minorHAnsi"/>
          <w:b/>
          <w:bCs/>
        </w:rPr>
        <w:t>124.993,70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B03238" w:rsidRPr="00B03238">
        <w:rPr>
          <w:rFonts w:cstheme="minorHAnsi"/>
          <w:b/>
          <w:bCs/>
        </w:rPr>
        <w:t>cento e vinte e quatro mil novecentos e noventa e três reais e setenta centavos</w:t>
      </w:r>
      <w:r w:rsidRPr="00310C4B">
        <w:rPr>
          <w:rFonts w:cstheme="minorHAnsi"/>
          <w:b/>
          <w:bCs/>
        </w:rPr>
        <w:t>).</w:t>
      </w:r>
    </w:p>
    <w:p w14:paraId="7FEAF56B" w14:textId="6E1272FF" w:rsidR="00B9404D" w:rsidRPr="00704CF6" w:rsidRDefault="00B9404D" w:rsidP="00B9404D">
      <w:pPr>
        <w:jc w:val="both"/>
        <w:rPr>
          <w:rFonts w:cstheme="minorHAnsi"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B03238" w:rsidRPr="00B03238">
        <w:rPr>
          <w:rFonts w:cstheme="minorHAnsi"/>
          <w:b/>
          <w:bCs/>
        </w:rPr>
        <w:t>-1,77%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B03238" w:rsidRPr="00B03238">
        <w:rPr>
          <w:rFonts w:cstheme="minorHAnsi"/>
          <w:b/>
          <w:bCs/>
        </w:rPr>
        <w:t xml:space="preserve">-219.670,80 </w:t>
      </w:r>
      <w:r w:rsidR="004B724E" w:rsidRPr="00310C4B">
        <w:rPr>
          <w:rFonts w:cstheme="minorHAnsi"/>
          <w:b/>
          <w:bCs/>
        </w:rPr>
        <w:t>(</w:t>
      </w:r>
      <w:r w:rsidR="00B03238" w:rsidRPr="00B03238">
        <w:rPr>
          <w:rFonts w:cstheme="minorHAnsi"/>
          <w:b/>
          <w:bCs/>
        </w:rPr>
        <w:t>duzentos e dezenove mil seiscentos e setenta reais e oitenta centavos negativo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00427FA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4" w:name="_Toc143095680"/>
      <w:r w:rsidRPr="00704CF6">
        <w:rPr>
          <w:rFonts w:cstheme="minorHAnsi"/>
        </w:rPr>
        <w:lastRenderedPageBreak/>
        <w:t>DISTRIBUIÇÃO DOS ATIVOS POR INSTITUIÇÕES FINANCEIRAS</w:t>
      </w:r>
      <w:bookmarkEnd w:id="14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90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22"/>
      </w:tblGrid>
      <w:tr w:rsidR="00BA1FBD" w:rsidRPr="00704CF6" w14:paraId="315C2308" w14:textId="77777777" w:rsidTr="008B03E5">
        <w:trPr>
          <w:trHeight w:val="74"/>
          <w:jc w:val="center"/>
        </w:trPr>
        <w:tc>
          <w:tcPr>
            <w:tcW w:w="4522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522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BA1FBD" w:rsidRPr="00704CF6" w14:paraId="06E7B032" w14:textId="77777777" w:rsidTr="008B03E5">
        <w:trPr>
          <w:trHeight w:val="776"/>
          <w:jc w:val="center"/>
        </w:trPr>
        <w:tc>
          <w:tcPr>
            <w:tcW w:w="4522" w:type="dxa"/>
          </w:tcPr>
          <w:p w14:paraId="24CCDBAF" w14:textId="692297E4" w:rsidR="005863D9" w:rsidRPr="00704CF6" w:rsidRDefault="00B03238" w:rsidP="005863D9">
            <w:pPr>
              <w:jc w:val="center"/>
              <w:rPr>
                <w:noProof/>
              </w:rPr>
            </w:pPr>
            <w:r w:rsidRPr="00B03238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285DBDD9" wp14:editId="2A7D9B5B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212090</wp:posOffset>
                  </wp:positionV>
                  <wp:extent cx="2352675" cy="126892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38" y="21405"/>
                      <wp:lineTo x="21338" y="0"/>
                      <wp:lineTo x="0" y="0"/>
                    </wp:wrapPolygon>
                  </wp:wrapTight>
                  <wp:docPr id="19362468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24687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26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1ADAD0" w14:textId="2DAD36F8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22" w:type="dxa"/>
          </w:tcPr>
          <w:p w14:paraId="6797D1BF" w14:textId="0A805587" w:rsidR="005863D9" w:rsidRPr="00704CF6" w:rsidRDefault="00B03238" w:rsidP="005863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BF224BF" wp14:editId="7EBCA903">
                  <wp:simplePos x="0" y="0"/>
                  <wp:positionH relativeFrom="column">
                    <wp:posOffset>-68555</wp:posOffset>
                  </wp:positionH>
                  <wp:positionV relativeFrom="paragraph">
                    <wp:posOffset>193041</wp:posOffset>
                  </wp:positionV>
                  <wp:extent cx="2301850" cy="1219200"/>
                  <wp:effectExtent l="0" t="0" r="3810" b="0"/>
                  <wp:wrapTight wrapText="bothSides">
                    <wp:wrapPolygon edited="0">
                      <wp:start x="0" y="0"/>
                      <wp:lineTo x="0" y="21263"/>
                      <wp:lineTo x="21457" y="21263"/>
                      <wp:lineTo x="21457" y="0"/>
                      <wp:lineTo x="0" y="0"/>
                    </wp:wrapPolygon>
                  </wp:wrapTight>
                  <wp:docPr id="125227081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4E1AB0" w14:textId="746CBC4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3D20C910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3095681"/>
      <w:r w:rsidRPr="00704CF6">
        <w:rPr>
          <w:rFonts w:cstheme="minorHAnsi"/>
        </w:rPr>
        <w:t>RETORNO DA CARTEIRA DE INVESTIMENTOS VERSOS A META DE RENTABILIDADE</w:t>
      </w:r>
      <w:bookmarkEnd w:id="15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050DF3B1" w14:textId="325EFB6E" w:rsidR="00310C4B" w:rsidRDefault="00B9404D" w:rsidP="008B03E5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atingimento da meta de rentabilidade no mês, representa </w:t>
      </w:r>
      <w:r w:rsidR="00BA1FBD" w:rsidRPr="00BA1FBD">
        <w:rPr>
          <w:rFonts w:cstheme="minorHAnsi"/>
          <w:b/>
          <w:bCs/>
        </w:rPr>
        <w:t>0,65%</w:t>
      </w:r>
      <w:r w:rsidR="005863D9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de meta de rentabilidade contra </w:t>
      </w:r>
      <w:r w:rsidR="00B03238" w:rsidRPr="00B03238">
        <w:rPr>
          <w:rFonts w:cstheme="minorHAnsi"/>
          <w:b/>
          <w:bCs/>
        </w:rPr>
        <w:t>-0,13%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B03238" w:rsidRPr="00B03238">
        <w:rPr>
          <w:rFonts w:cstheme="minorHAnsi"/>
          <w:b/>
          <w:bCs/>
        </w:rPr>
        <w:t>9,36%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B03238" w:rsidRPr="00B03238">
        <w:rPr>
          <w:rFonts w:cstheme="minorHAnsi"/>
          <w:b/>
          <w:bCs/>
        </w:rPr>
        <w:t>8,05%</w:t>
      </w:r>
      <w:r w:rsidR="00B03238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>da meta de rentabilidade.</w:t>
      </w:r>
    </w:p>
    <w:p w14:paraId="17AC029E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3095682"/>
      <w:r w:rsidRPr="00704CF6">
        <w:rPr>
          <w:rFonts w:cstheme="minorHAnsi"/>
        </w:rPr>
        <w:t>EVOLUÇÃO PATRIMONIAL</w:t>
      </w:r>
      <w:bookmarkEnd w:id="16"/>
    </w:p>
    <w:p w14:paraId="5E9D6573" w14:textId="77777777" w:rsidR="00B03238" w:rsidRDefault="00B9404D" w:rsidP="00B9404D">
      <w:pPr>
        <w:jc w:val="both"/>
        <w:rPr>
          <w:rFonts w:cstheme="minorHAnsi"/>
          <w:b/>
          <w:bCs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de </w:t>
      </w:r>
      <w:r w:rsidR="00B03238" w:rsidRPr="00B03238">
        <w:rPr>
          <w:rFonts w:cstheme="minorHAnsi"/>
          <w:b/>
          <w:bCs/>
        </w:rPr>
        <w:t>R$ 70.711.151,66 (setenta milhões, setecentos e onze mil, cento e cinquenta e um reais e sessenta e seis centavos).</w:t>
      </w:r>
    </w:p>
    <w:p w14:paraId="48846C96" w14:textId="78E80179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bookmarkStart w:id="17" w:name="_Hlk152575184"/>
      <w:r w:rsidRPr="00310C4B">
        <w:rPr>
          <w:rFonts w:cstheme="minorHAnsi"/>
          <w:b/>
          <w:bCs/>
        </w:rPr>
        <w:t xml:space="preserve">R$ </w:t>
      </w:r>
      <w:r w:rsidR="003141B1" w:rsidRPr="003141B1">
        <w:rPr>
          <w:rFonts w:cstheme="minorHAnsi"/>
          <w:b/>
          <w:bCs/>
        </w:rPr>
        <w:t>70.736.474,67</w:t>
      </w:r>
      <w:r w:rsidR="003141B1" w:rsidRPr="003141B1">
        <w:rPr>
          <w:rFonts w:cstheme="minorHAnsi"/>
          <w:b/>
          <w:bCs/>
        </w:rPr>
        <w:tab/>
        <w:t xml:space="preserve"> </w:t>
      </w:r>
      <w:r w:rsidRPr="00310C4B">
        <w:rPr>
          <w:rFonts w:cstheme="minorHAnsi"/>
          <w:b/>
          <w:bCs/>
        </w:rPr>
        <w:t>(</w:t>
      </w:r>
      <w:r w:rsidR="003141B1" w:rsidRPr="003141B1">
        <w:rPr>
          <w:rFonts w:cstheme="minorHAnsi"/>
          <w:b/>
          <w:bCs/>
        </w:rPr>
        <w:t>setenta milhões setecentos e trinta e seis mil quatrocentos e setenta e quatro reais e sessenta e sete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bookmarkEnd w:id="17"/>
    <w:p w14:paraId="7E2A1264" w14:textId="2290A0C2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3141B1" w:rsidRPr="003141B1">
        <w:rPr>
          <w:rFonts w:cstheme="minorHAnsi"/>
          <w:b/>
          <w:bCs/>
        </w:rPr>
        <w:t xml:space="preserve">-25.323,01 </w:t>
      </w:r>
      <w:r w:rsidRPr="00310C4B">
        <w:rPr>
          <w:rFonts w:cstheme="minorHAnsi"/>
          <w:b/>
          <w:bCs/>
        </w:rPr>
        <w:t>(</w:t>
      </w:r>
      <w:r w:rsidR="003141B1" w:rsidRPr="003141B1">
        <w:rPr>
          <w:rFonts w:cstheme="minorHAnsi"/>
          <w:b/>
          <w:bCs/>
        </w:rPr>
        <w:t>vinte e cinco mil trezentos e vinte e três reais e um centavo</w:t>
      </w:r>
      <w:r w:rsidRPr="00310C4B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8" w:name="_Toc143095683"/>
      <w:r w:rsidRPr="00704CF6">
        <w:rPr>
          <w:rFonts w:cstheme="minorHAnsi"/>
        </w:rPr>
        <w:t>RETORNO DOS INVESTIMENTOS APÓS AS MOVIMENTAÇÕES</w:t>
      </w:r>
      <w:bookmarkEnd w:id="18"/>
    </w:p>
    <w:p w14:paraId="6BDFF08E" w14:textId="091C5D31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t>No mês de referência, houve movimentações financeiras no seguimento de renda fixa, na importância total de: </w:t>
      </w:r>
    </w:p>
    <w:p w14:paraId="2296BF8C" w14:textId="2E72244B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 xml:space="preserve">R$ </w:t>
      </w:r>
      <w:r w:rsidR="003141B1" w:rsidRPr="003141B1">
        <w:rPr>
          <w:rFonts w:cstheme="minorHAnsi"/>
        </w:rPr>
        <w:t>404.000,11</w:t>
      </w:r>
      <w:r w:rsidR="003141B1">
        <w:rPr>
          <w:rFonts w:cstheme="minorHAnsi"/>
        </w:rPr>
        <w:t xml:space="preserve"> </w:t>
      </w:r>
      <w:r w:rsidRPr="000344FE">
        <w:rPr>
          <w:rFonts w:cstheme="minorHAnsi"/>
        </w:rPr>
        <w:t>em aplicações e</w:t>
      </w:r>
    </w:p>
    <w:p w14:paraId="3A6771D6" w14:textId="38732CEC" w:rsidR="000344FE" w:rsidRPr="000344FE" w:rsidRDefault="000344FE" w:rsidP="000344FE">
      <w:pPr>
        <w:pStyle w:val="PargrafodaLista"/>
        <w:numPr>
          <w:ilvl w:val="0"/>
          <w:numId w:val="6"/>
        </w:numPr>
        <w:rPr>
          <w:rFonts w:cstheme="minorHAnsi"/>
        </w:rPr>
      </w:pPr>
      <w:r w:rsidRPr="000344FE">
        <w:rPr>
          <w:rFonts w:cstheme="minorHAnsi"/>
        </w:rPr>
        <w:t xml:space="preserve">R$ </w:t>
      </w:r>
      <w:r w:rsidR="003141B1" w:rsidRPr="003141B1">
        <w:rPr>
          <w:rFonts w:cstheme="minorHAnsi"/>
        </w:rPr>
        <w:t>284.000,00</w:t>
      </w:r>
      <w:r w:rsidR="003141B1">
        <w:rPr>
          <w:rFonts w:cstheme="minorHAnsi"/>
        </w:rPr>
        <w:t xml:space="preserve"> </w:t>
      </w:r>
      <w:r w:rsidRPr="000344FE">
        <w:rPr>
          <w:rFonts w:cstheme="minorHAnsi"/>
        </w:rPr>
        <w:t>em resgates.</w:t>
      </w:r>
    </w:p>
    <w:p w14:paraId="14D0F461" w14:textId="1BEB2E57" w:rsidR="000344FE" w:rsidRPr="000344FE" w:rsidRDefault="000344FE" w:rsidP="000344FE">
      <w:pPr>
        <w:jc w:val="both"/>
        <w:rPr>
          <w:rFonts w:cstheme="minorHAnsi"/>
        </w:rPr>
      </w:pPr>
      <w:r w:rsidRPr="000344FE">
        <w:rPr>
          <w:rFonts w:cstheme="minorHAnsi"/>
        </w:rPr>
        <w:lastRenderedPageBreak/>
        <w:t>No mês de referência, não houve movimentações financeiras no seguimento de renda variável. 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08400F2" w14:textId="23D52654" w:rsidR="00B9404D" w:rsidRPr="003141B1" w:rsidRDefault="00B9404D" w:rsidP="00AD3971">
      <w:pPr>
        <w:pStyle w:val="PargrafodaLista"/>
        <w:numPr>
          <w:ilvl w:val="0"/>
          <w:numId w:val="2"/>
        </w:numPr>
        <w:rPr>
          <w:rFonts w:cstheme="minorHAnsi"/>
        </w:rPr>
      </w:pPr>
      <w:r w:rsidRPr="003141B1">
        <w:rPr>
          <w:rFonts w:cstheme="minorHAnsi"/>
          <w:b/>
          <w:bCs/>
        </w:rPr>
        <w:t xml:space="preserve">R$ </w:t>
      </w:r>
      <w:r w:rsidR="003141B1" w:rsidRPr="003141B1">
        <w:rPr>
          <w:rFonts w:cstheme="minorHAnsi"/>
          <w:b/>
          <w:bCs/>
        </w:rPr>
        <w:t xml:space="preserve">-94.677,10 </w:t>
      </w:r>
      <w:r w:rsidRPr="003141B1">
        <w:rPr>
          <w:rFonts w:cstheme="minorHAnsi"/>
        </w:rPr>
        <w:t xml:space="preserve">retorno da carteira de investimentos no total, equivalente a </w:t>
      </w:r>
      <w:r w:rsidR="003141B1" w:rsidRPr="003141B1">
        <w:rPr>
          <w:rFonts w:cstheme="minorHAnsi"/>
          <w:b/>
          <w:bCs/>
        </w:rPr>
        <w:t>-0,13%</w:t>
      </w:r>
    </w:p>
    <w:p w14:paraId="2F30F042" w14:textId="75ADAA9E" w:rsidR="00B9404D" w:rsidRPr="00704CF6" w:rsidRDefault="003141B1" w:rsidP="00B9404D">
      <w:pPr>
        <w:pStyle w:val="Ttulo2"/>
        <w:rPr>
          <w:rFonts w:cstheme="minorHAnsi"/>
        </w:rPr>
      </w:pPr>
      <w:bookmarkStart w:id="19" w:name="_Toc143095684"/>
      <w:r w:rsidRPr="003141B1">
        <w:rPr>
          <w:noProof/>
        </w:rPr>
        <w:drawing>
          <wp:anchor distT="0" distB="0" distL="114300" distR="114300" simplePos="0" relativeHeight="251660288" behindDoc="1" locked="0" layoutInCell="1" allowOverlap="1" wp14:anchorId="6908C516" wp14:editId="31993147">
            <wp:simplePos x="0" y="0"/>
            <wp:positionH relativeFrom="column">
              <wp:posOffset>-51435</wp:posOffset>
            </wp:positionH>
            <wp:positionV relativeFrom="paragraph">
              <wp:posOffset>269240</wp:posOffset>
            </wp:positionV>
            <wp:extent cx="5400040" cy="936625"/>
            <wp:effectExtent l="0" t="0" r="0" b="0"/>
            <wp:wrapTight wrapText="bothSides">
              <wp:wrapPolygon edited="0">
                <wp:start x="0" y="0"/>
                <wp:lineTo x="0" y="21087"/>
                <wp:lineTo x="20955" y="21087"/>
                <wp:lineTo x="21412" y="20648"/>
                <wp:lineTo x="21488" y="15376"/>
                <wp:lineTo x="21488" y="0"/>
                <wp:lineTo x="0" y="0"/>
              </wp:wrapPolygon>
            </wp:wrapTight>
            <wp:docPr id="16433338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04D" w:rsidRPr="00704CF6">
        <w:rPr>
          <w:rFonts w:cstheme="minorHAnsi"/>
        </w:rPr>
        <w:t>AUTORIZAÇÃO DE APLICAÇÃO E RESGATE – APR</w:t>
      </w:r>
      <w:bookmarkEnd w:id="19"/>
    </w:p>
    <w:p w14:paraId="0FBD6C40" w14:textId="32C61F5B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70EE8633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0" w:name="_Toc143095685"/>
      <w:r w:rsidRPr="00704CF6">
        <w:rPr>
          <w:rFonts w:cstheme="minorHAnsi"/>
        </w:rPr>
        <w:t>ANÁLISE DE RISCO DA CARTEIRA DE INVESTIMENTOS</w:t>
      </w:r>
      <w:bookmarkEnd w:id="20"/>
    </w:p>
    <w:p w14:paraId="1051DBB0" w14:textId="6D2003A8" w:rsidR="001E099A" w:rsidRDefault="00B9404D" w:rsidP="008B03E5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  <w:r w:rsidR="008B03E5">
        <w:rPr>
          <w:rFonts w:cstheme="minorHAnsi"/>
        </w:rPr>
        <w:t xml:space="preserve"> </w:t>
      </w:r>
    </w:p>
    <w:p w14:paraId="382C91BA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3095686"/>
      <w:r w:rsidRPr="00704CF6">
        <w:rPr>
          <w:rFonts w:cstheme="minorHAnsi"/>
        </w:rPr>
        <w:t>RISCO DE MERCADO</w:t>
      </w:r>
      <w:bookmarkEnd w:id="21"/>
    </w:p>
    <w:p w14:paraId="6A0BC30E" w14:textId="65E74AB7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3141B1" w:rsidRPr="003141B1">
        <w:rPr>
          <w:rFonts w:cstheme="minorHAnsi"/>
          <w:b/>
          <w:bCs/>
        </w:rPr>
        <w:t>1,62%</w:t>
      </w:r>
      <w:r w:rsidR="003141B1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>para o mês de referência.</w:t>
      </w:r>
    </w:p>
    <w:p w14:paraId="6046E6B2" w14:textId="36C9E763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3141B1" w:rsidRPr="003141B1">
        <w:rPr>
          <w:rFonts w:cstheme="minorHAnsi"/>
          <w:b/>
          <w:bCs/>
        </w:rPr>
        <w:t>1,07%</w:t>
      </w:r>
      <w:r w:rsidR="003141B1">
        <w:rPr>
          <w:rFonts w:cstheme="minorHAnsi"/>
          <w:b/>
          <w:bCs/>
        </w:rPr>
        <w:t xml:space="preserve"> </w:t>
      </w:r>
      <w:r w:rsidRPr="001E099A">
        <w:rPr>
          <w:rFonts w:cstheme="minorHAnsi"/>
        </w:rPr>
        <w:t xml:space="preserve">no segmento de renda variável o valor é de </w:t>
      </w:r>
      <w:r w:rsidR="003141B1" w:rsidRPr="003141B1">
        <w:rPr>
          <w:rFonts w:cstheme="minorHAnsi"/>
          <w:b/>
          <w:bCs/>
        </w:rPr>
        <w:t>4,25%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2" w:name="_Toc143095687"/>
      <w:r w:rsidRPr="00704CF6">
        <w:rPr>
          <w:rFonts w:cstheme="minorHAnsi"/>
        </w:rPr>
        <w:t>RISCO DE CRÉDITO</w:t>
      </w:r>
      <w:bookmarkEnd w:id="22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7A0EA2B4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1E84BB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3" w:name="_Toc143095688"/>
      <w:r w:rsidRPr="00704CF6">
        <w:rPr>
          <w:rFonts w:cstheme="minorHAnsi"/>
        </w:rPr>
        <w:t>RISCO DE LÍQUIDEZ</w:t>
      </w:r>
      <w:bookmarkEnd w:id="23"/>
    </w:p>
    <w:p w14:paraId="5C771629" w14:textId="7AD8BE70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D03D5D" w:rsidRPr="00D03D5D">
        <w:rPr>
          <w:rFonts w:cstheme="minorHAnsi"/>
          <w:b/>
          <w:bCs/>
        </w:rPr>
        <w:t>96,1</w:t>
      </w:r>
      <w:r w:rsidR="003141B1">
        <w:rPr>
          <w:rFonts w:cstheme="minorHAnsi"/>
          <w:b/>
          <w:bCs/>
        </w:rPr>
        <w:t>9</w:t>
      </w:r>
      <w:r w:rsidR="00D03D5D" w:rsidRPr="00D03D5D">
        <w:rPr>
          <w:rFonts w:cstheme="minorHAnsi"/>
          <w:b/>
          <w:bCs/>
        </w:rPr>
        <w:t>%</w:t>
      </w:r>
      <w:r w:rsidR="00D03D5D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3095689"/>
      <w:r w:rsidRPr="00704CF6">
        <w:rPr>
          <w:rFonts w:cstheme="minorHAnsi"/>
        </w:rPr>
        <w:lastRenderedPageBreak/>
        <w:t>ANÁLISE DE CARTEIRA POR PARTE DA CONSULTORIA DE INVESTIMENTOS</w:t>
      </w:r>
      <w:bookmarkEnd w:id="24"/>
    </w:p>
    <w:p w14:paraId="5347EE74" w14:textId="7AAD8930" w:rsidR="005A5EDD" w:rsidRDefault="00D03D5D" w:rsidP="00D03D5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0B927FAD" w14:textId="77777777" w:rsidR="001E099A" w:rsidRPr="00704CF6" w:rsidRDefault="001E099A" w:rsidP="008B03E5">
      <w:pPr>
        <w:spacing w:after="120" w:line="240" w:lineRule="auto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3095690"/>
      <w:r w:rsidRPr="00704CF6">
        <w:rPr>
          <w:rFonts w:cstheme="minorHAnsi"/>
        </w:rPr>
        <w:t>ANÁLISE DE FUNDOS DE INVESTIMENTOS POR PARTE DA CONSULTORIA DE INVESTIMENTOS</w:t>
      </w:r>
      <w:bookmarkEnd w:id="25"/>
    </w:p>
    <w:p w14:paraId="2E19A16C" w14:textId="3A8C49BC" w:rsidR="00B9404D" w:rsidRPr="00704CF6" w:rsidRDefault="00D03D5D" w:rsidP="00B9404D">
      <w:pPr>
        <w:jc w:val="both"/>
        <w:rPr>
          <w:rFonts w:cstheme="minorHAnsi"/>
        </w:rPr>
      </w:pPr>
      <w:r>
        <w:rPr>
          <w:rFonts w:cstheme="minorHAnsi"/>
        </w:rPr>
        <w:t>Não f</w:t>
      </w:r>
      <w:r w:rsidR="00B9404D" w:rsidRPr="00704CF6">
        <w:rPr>
          <w:rFonts w:cstheme="minorHAnsi"/>
        </w:rPr>
        <w:t>oram solicitados a Consultoria de Investimentos contratada Análises de Fundo de Investimentos.</w:t>
      </w:r>
    </w:p>
    <w:p w14:paraId="77BF9C51" w14:textId="77777777" w:rsidR="005A5EDD" w:rsidRPr="00704CF6" w:rsidRDefault="005A5EDD" w:rsidP="008B03E5">
      <w:pPr>
        <w:spacing w:after="120" w:line="240" w:lineRule="auto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3095691"/>
      <w:r w:rsidRPr="00704CF6">
        <w:rPr>
          <w:rFonts w:cstheme="minorHAnsi"/>
        </w:rPr>
        <w:t>PROCESSOS DE CREDENCIAMENTO</w:t>
      </w:r>
      <w:bookmarkEnd w:id="26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03EBA72B" w14:textId="77777777" w:rsidR="00B9404D" w:rsidRPr="00704CF6" w:rsidRDefault="00B9404D" w:rsidP="008B03E5">
      <w:pPr>
        <w:spacing w:after="120" w:line="240" w:lineRule="auto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7" w:name="_Toc143095692"/>
      <w:r w:rsidRPr="00704CF6">
        <w:rPr>
          <w:rFonts w:cstheme="minorHAnsi"/>
        </w:rPr>
        <w:t>PLANO DE CONTINGÊNCIA</w:t>
      </w:r>
      <w:bookmarkEnd w:id="27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8B03E5">
      <w:pPr>
        <w:spacing w:after="120" w:line="240" w:lineRule="auto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8" w:name="_Toc143095693"/>
      <w:r w:rsidRPr="00704CF6">
        <w:rPr>
          <w:rFonts w:cstheme="minorHAnsi"/>
        </w:rPr>
        <w:t>CONSIDERAÇÕES FINAIS</w:t>
      </w:r>
      <w:bookmarkEnd w:id="28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0263F97D" w14:textId="77777777" w:rsidR="008B03E5" w:rsidRPr="007B1029" w:rsidRDefault="008B03E5" w:rsidP="008B03E5">
      <w:pPr>
        <w:jc w:val="both"/>
        <w:rPr>
          <w:rFonts w:cstheme="minorHAnsi"/>
        </w:rPr>
      </w:pPr>
      <w:r w:rsidRPr="007B1029">
        <w:rPr>
          <w:rFonts w:cstheme="minorHAnsi"/>
        </w:rPr>
        <w:t>Este parecer deverá ser submetido ao Comitê de Investimentos para sua deliberação e submetido ao Conselho Fiscal para a deliberação de sua efetividade, para Aprovação do Conselho Fiscal.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</w:p>
    <w:sectPr w:rsidR="006D066D" w:rsidRPr="00704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FEE5" w14:textId="77777777" w:rsidR="00E41EA8" w:rsidRDefault="00E41EA8" w:rsidP="006D066D">
      <w:pPr>
        <w:spacing w:after="0" w:line="240" w:lineRule="auto"/>
      </w:pPr>
      <w:r>
        <w:separator/>
      </w:r>
    </w:p>
  </w:endnote>
  <w:endnote w:type="continuationSeparator" w:id="0">
    <w:p w14:paraId="3EB90D71" w14:textId="77777777" w:rsidR="00E41EA8" w:rsidRDefault="00E41EA8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737B" w14:textId="77777777" w:rsidR="00E41EA8" w:rsidRDefault="00E41EA8" w:rsidP="006D066D">
      <w:pPr>
        <w:spacing w:after="0" w:line="240" w:lineRule="auto"/>
      </w:pPr>
      <w:r>
        <w:separator/>
      </w:r>
    </w:p>
  </w:footnote>
  <w:footnote w:type="continuationSeparator" w:id="0">
    <w:p w14:paraId="1945D5BC" w14:textId="77777777" w:rsidR="00E41EA8" w:rsidRDefault="00E41EA8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83D2" w14:textId="77777777" w:rsidR="008B03E5" w:rsidRPr="000C177F" w:rsidRDefault="008B03E5" w:rsidP="008B03E5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6A60FC2" wp14:editId="5BB7838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553B06CC" w14:textId="77777777" w:rsidR="008B03E5" w:rsidRPr="000C177F" w:rsidRDefault="008B03E5" w:rsidP="008B03E5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5480B572" w14:textId="77777777" w:rsidR="008B03E5" w:rsidRPr="000C177F" w:rsidRDefault="008B03E5" w:rsidP="008B03E5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68BDC17C" w14:textId="77777777" w:rsidR="008B03E5" w:rsidRPr="000C177F" w:rsidRDefault="008B03E5" w:rsidP="008B03E5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53F8FAE1" w14:textId="548485E6" w:rsidR="008B03E5" w:rsidRPr="008B03E5" w:rsidRDefault="008B03E5" w:rsidP="008B03E5">
    <w:pPr>
      <w:pStyle w:val="Cabealho"/>
      <w:jc w:val="center"/>
      <w:rPr>
        <w:color w:val="7F7F7F" w:themeColor="text1" w:themeTint="80"/>
      </w:rPr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35B"/>
    <w:multiLevelType w:val="hybridMultilevel"/>
    <w:tmpl w:val="002C0D0A"/>
    <w:lvl w:ilvl="0" w:tplc="57609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E6B2F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006"/>
    <w:multiLevelType w:val="hybridMultilevel"/>
    <w:tmpl w:val="419A05C4"/>
    <w:lvl w:ilvl="0" w:tplc="62829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579EE"/>
    <w:multiLevelType w:val="multilevel"/>
    <w:tmpl w:val="D52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44FE"/>
    <w:rsid w:val="0003550B"/>
    <w:rsid w:val="00137100"/>
    <w:rsid w:val="001E099A"/>
    <w:rsid w:val="001E2C84"/>
    <w:rsid w:val="00212F35"/>
    <w:rsid w:val="002271DE"/>
    <w:rsid w:val="00273EDB"/>
    <w:rsid w:val="00310C4B"/>
    <w:rsid w:val="003141B1"/>
    <w:rsid w:val="003A0B78"/>
    <w:rsid w:val="003B1BAE"/>
    <w:rsid w:val="003D7479"/>
    <w:rsid w:val="00404923"/>
    <w:rsid w:val="0042028C"/>
    <w:rsid w:val="004208DF"/>
    <w:rsid w:val="004B724E"/>
    <w:rsid w:val="004D59B2"/>
    <w:rsid w:val="005344BE"/>
    <w:rsid w:val="00536469"/>
    <w:rsid w:val="005518D3"/>
    <w:rsid w:val="0055295D"/>
    <w:rsid w:val="00554196"/>
    <w:rsid w:val="005863D9"/>
    <w:rsid w:val="005A5EDD"/>
    <w:rsid w:val="006D066D"/>
    <w:rsid w:val="00700D67"/>
    <w:rsid w:val="007026C7"/>
    <w:rsid w:val="00704CF6"/>
    <w:rsid w:val="00706A30"/>
    <w:rsid w:val="0073473B"/>
    <w:rsid w:val="00871514"/>
    <w:rsid w:val="008929D2"/>
    <w:rsid w:val="00896CCC"/>
    <w:rsid w:val="008A4050"/>
    <w:rsid w:val="008B03E5"/>
    <w:rsid w:val="008E461D"/>
    <w:rsid w:val="00954041"/>
    <w:rsid w:val="00995AE8"/>
    <w:rsid w:val="00A622CA"/>
    <w:rsid w:val="00A65A1F"/>
    <w:rsid w:val="00B03238"/>
    <w:rsid w:val="00B0550F"/>
    <w:rsid w:val="00B6697A"/>
    <w:rsid w:val="00B771A4"/>
    <w:rsid w:val="00B93C34"/>
    <w:rsid w:val="00B9404D"/>
    <w:rsid w:val="00BA1FBD"/>
    <w:rsid w:val="00BB2D16"/>
    <w:rsid w:val="00BB3D57"/>
    <w:rsid w:val="00BD3CDC"/>
    <w:rsid w:val="00C201A2"/>
    <w:rsid w:val="00CF460D"/>
    <w:rsid w:val="00D03D5D"/>
    <w:rsid w:val="00D73648"/>
    <w:rsid w:val="00E02526"/>
    <w:rsid w:val="00E34703"/>
    <w:rsid w:val="00E41EA8"/>
    <w:rsid w:val="00F04049"/>
    <w:rsid w:val="00F672A8"/>
    <w:rsid w:val="00F86479"/>
    <w:rsid w:val="00F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344FE"/>
  </w:style>
  <w:style w:type="character" w:customStyle="1" w:styleId="eop">
    <w:name w:val="eop"/>
    <w:basedOn w:val="Fontepargpadro"/>
    <w:rsid w:val="000344FE"/>
  </w:style>
  <w:style w:type="paragraph" w:styleId="Textodebalo">
    <w:name w:val="Balloon Text"/>
    <w:basedOn w:val="Normal"/>
    <w:link w:val="TextodebaloChar"/>
    <w:uiPriority w:val="99"/>
    <w:semiHidden/>
    <w:unhideWhenUsed/>
    <w:rsid w:val="00E3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1697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4</cp:revision>
  <cp:lastPrinted>2024-01-04T17:44:00Z</cp:lastPrinted>
  <dcterms:created xsi:type="dcterms:W3CDTF">2024-01-03T19:29:00Z</dcterms:created>
  <dcterms:modified xsi:type="dcterms:W3CDTF">2024-01-04T17:50:00Z</dcterms:modified>
</cp:coreProperties>
</file>